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Информация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 деятельности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за январь – декабрь2023</w:t>
      </w:r>
    </w:p>
    <w:p>
      <w:pPr>
        <w:pStyle w:val="Normal"/>
        <w:jc w:val="center"/>
        <w:rPr>
          <w:b/>
          <w:i/>
          <w:i/>
        </w:rPr>
      </w:pPr>
      <w:r>
        <w:rPr>
          <w:sz w:val="28"/>
          <w:szCs w:val="28"/>
        </w:rPr>
      </w:r>
    </w:p>
    <w:tbl>
      <w:tblPr>
        <w:tblW w:w="1031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771"/>
        <w:gridCol w:w="1542"/>
      </w:tblGrid>
      <w:tr>
        <w:trPr>
          <w:tblHeader w:val="true"/>
          <w:trHeight w:val="308" w:hRule="atLeast"/>
        </w:trPr>
        <w:tc>
          <w:tcPr>
            <w:tcW w:w="87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5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firstLine="720"/>
              <w:rPr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</w:t>
            </w:r>
            <w:r>
              <w:rPr>
                <w:b/>
                <w:bCs/>
                <w:sz w:val="26"/>
              </w:rPr>
              <w:t>. Контрольно-ревизионная деятельность</w:t>
            </w:r>
          </w:p>
        </w:tc>
        <w:tc>
          <w:tcPr>
            <w:tcW w:w="15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Общее количество проведенных контрольных мероприятий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Выявленный объем финансовых нарушений, всего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26/5884,0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формировании и исполнении бюджетов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распоряжении и использовании государственной (муниципальной) собственности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12/4250,0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осуществлении государственных (муниципальных) закупок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1/400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нецелевое использование бюджетных средств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ведения бухгалтерского учета, составления и представления бухгалтерской (финансовой) отчетности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5/500,0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прочие нарушения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8/734,0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  <w:t>Кроме этого установлено: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 неэффективное использование бюджетных средств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II</w:t>
            </w:r>
            <w:r>
              <w:rPr>
                <w:b/>
                <w:bCs/>
                <w:sz w:val="26"/>
              </w:rPr>
              <w:t>. Экспертно-аналитическая деятельность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экспертно-аналитических мероприятий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bookmarkStart w:id="0" w:name="_GoBack"/>
            <w:bookmarkEnd w:id="0"/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экспертиз проектов муниципальных правовых актов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III</w:t>
            </w:r>
            <w:r>
              <w:rPr>
                <w:b/>
                <w:bCs/>
                <w:sz w:val="26"/>
              </w:rPr>
              <w:t>. Реализация результатов контрольных и экспертно-аналитических мероприятий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Принято мер и восстановлено средств в бюджет, всего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5834,0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восстановлено в бюджет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5834,0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IV</w:t>
            </w:r>
            <w:r>
              <w:rPr>
                <w:b/>
                <w:sz w:val="26"/>
              </w:rPr>
              <w:t>. Реализация полномочия по составлению протоколов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 административных правонарушениях в области бюджетного законодательства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протоколов (шт.)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Сумма наложенных штрафов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IV</w:t>
            </w:r>
            <w:r>
              <w:rPr>
                <w:b/>
                <w:bCs/>
                <w:sz w:val="26"/>
              </w:rPr>
              <w:t>. Численность сотрудников контрольно-счетной палаты и среднемесячная заработная плата председателя контрольно-счетной палаты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Численность сотрудников, всего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по штату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 договорной основе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12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074d0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rsid w:val="00074d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C746-EF37-4F06-A6D3-DA6FAC21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201</Words>
  <Characters>1531</Characters>
  <CharactersWithSpaces>1686</CharactersWithSpaces>
  <Paragraphs>48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2024-01-11T07:36:00Z</dcterms:created>
  <dc:creator>User</dc:creator>
  <dc:description/>
  <dc:language>ru-RU</dc:language>
  <cp:lastModifiedBy/>
  <cp:lastPrinted>2017-03-01T08:18:00Z</cp:lastPrinted>
  <dcterms:modified xsi:type="dcterms:W3CDTF">2024-10-02T08:30:21Z</dcterms:modified>
  <cp:revision>4</cp:revision>
  <dc:subject/>
  <dc:title>От 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